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3" w:rsidRDefault="00852233" w:rsidP="00852233">
      <w:pPr>
        <w:pStyle w:val="Default"/>
        <w:jc w:val="center"/>
        <w:rPr>
          <w:b/>
          <w:sz w:val="32"/>
          <w:szCs w:val="32"/>
          <w:u w:val="single"/>
        </w:rPr>
      </w:pPr>
      <w:r>
        <w:rPr>
          <w:b/>
          <w:sz w:val="32"/>
          <w:szCs w:val="32"/>
          <w:u w:val="single"/>
        </w:rPr>
        <w:t>South Wootton Parish Council</w:t>
      </w:r>
    </w:p>
    <w:p w:rsidR="00852233" w:rsidRDefault="00852233" w:rsidP="00852233">
      <w:pPr>
        <w:pStyle w:val="Default"/>
        <w:jc w:val="center"/>
        <w:rPr>
          <w:b/>
          <w:sz w:val="32"/>
          <w:szCs w:val="32"/>
          <w:u w:val="single"/>
        </w:rPr>
      </w:pPr>
    </w:p>
    <w:p w:rsidR="00852233" w:rsidRPr="00852233" w:rsidRDefault="00852233" w:rsidP="00852233">
      <w:pPr>
        <w:pStyle w:val="Default"/>
        <w:jc w:val="center"/>
        <w:rPr>
          <w:b/>
          <w:sz w:val="32"/>
          <w:szCs w:val="32"/>
          <w:u w:val="single"/>
        </w:rPr>
      </w:pPr>
      <w:r>
        <w:rPr>
          <w:b/>
          <w:sz w:val="32"/>
          <w:szCs w:val="32"/>
          <w:u w:val="single"/>
        </w:rPr>
        <w:t>Community Engagement Policy</w:t>
      </w:r>
    </w:p>
    <w:p w:rsidR="00852233" w:rsidRDefault="00852233" w:rsidP="00852233">
      <w:pPr>
        <w:pStyle w:val="Default"/>
        <w:jc w:val="center"/>
      </w:pPr>
    </w:p>
    <w:p w:rsidR="00852233" w:rsidRDefault="00852233" w:rsidP="00852233">
      <w:pPr>
        <w:pStyle w:val="Default"/>
      </w:pPr>
    </w:p>
    <w:p w:rsidR="00852233" w:rsidRDefault="00852233" w:rsidP="00852233">
      <w:pPr>
        <w:pStyle w:val="Default"/>
      </w:pPr>
      <w:r>
        <w:t>South Wootton Parish Council intends to have meaningful engagement and collaboration with the community as part of its working practice.</w:t>
      </w:r>
    </w:p>
    <w:p w:rsidR="00852233" w:rsidRDefault="00852233" w:rsidP="00852233">
      <w:pPr>
        <w:pStyle w:val="Default"/>
      </w:pPr>
    </w:p>
    <w:p w:rsidR="00852233" w:rsidRDefault="00852233" w:rsidP="00852233">
      <w:pPr>
        <w:pStyle w:val="Default"/>
      </w:pPr>
      <w:r>
        <w:t>VISION STATEMENT</w:t>
      </w:r>
    </w:p>
    <w:p w:rsidR="00852233" w:rsidRDefault="00852233" w:rsidP="00852233">
      <w:pPr>
        <w:pStyle w:val="Default"/>
      </w:pPr>
    </w:p>
    <w:p w:rsidR="00852233" w:rsidRDefault="00852233" w:rsidP="00852233">
      <w:pPr>
        <w:pStyle w:val="Default"/>
        <w:jc w:val="center"/>
      </w:pPr>
      <w:r>
        <w:t>“SOUTH WOOTTON IS, AND WILL CONTINUE TO BE, A VIBRANT PLACE</w:t>
      </w:r>
    </w:p>
    <w:p w:rsidR="00852233" w:rsidRDefault="00852233" w:rsidP="00852233">
      <w:pPr>
        <w:pStyle w:val="Default"/>
        <w:jc w:val="center"/>
      </w:pPr>
      <w:r>
        <w:t xml:space="preserve">IN WHICH TO LIVE, WORK AND PLAY.” </w:t>
      </w:r>
    </w:p>
    <w:p w:rsidR="00852233" w:rsidRDefault="00852233" w:rsidP="00852233">
      <w:pPr>
        <w:pStyle w:val="Default"/>
        <w:jc w:val="center"/>
      </w:pPr>
    </w:p>
    <w:p w:rsidR="00852233" w:rsidRDefault="00852233" w:rsidP="00852233">
      <w:pPr>
        <w:pStyle w:val="Default"/>
        <w:rPr>
          <w:u w:val="single"/>
        </w:rPr>
      </w:pPr>
      <w:r w:rsidRPr="00852233">
        <w:rPr>
          <w:u w:val="single"/>
        </w:rPr>
        <w:t>AIMS AND OBJECTIVES</w:t>
      </w:r>
    </w:p>
    <w:p w:rsidR="00852233" w:rsidRDefault="00852233" w:rsidP="00852233">
      <w:pPr>
        <w:pStyle w:val="Default"/>
        <w:rPr>
          <w:u w:val="single"/>
        </w:rPr>
      </w:pPr>
    </w:p>
    <w:tbl>
      <w:tblPr>
        <w:tblStyle w:val="TableGrid"/>
        <w:tblW w:w="0" w:type="auto"/>
        <w:tblLook w:val="04A0" w:firstRow="1" w:lastRow="0" w:firstColumn="1" w:lastColumn="0" w:noHBand="0" w:noVBand="1"/>
      </w:tblPr>
      <w:tblGrid>
        <w:gridCol w:w="3085"/>
        <w:gridCol w:w="6157"/>
      </w:tblGrid>
      <w:tr w:rsidR="00852233" w:rsidTr="00852233">
        <w:tc>
          <w:tcPr>
            <w:tcW w:w="3085" w:type="dxa"/>
          </w:tcPr>
          <w:p w:rsidR="00852233" w:rsidRPr="00852233" w:rsidRDefault="00852233" w:rsidP="00852233">
            <w:pPr>
              <w:pStyle w:val="Default"/>
              <w:rPr>
                <w:b/>
              </w:rPr>
            </w:pPr>
            <w:r w:rsidRPr="00852233">
              <w:rPr>
                <w:b/>
              </w:rPr>
              <w:t>Our key objectives</w:t>
            </w:r>
          </w:p>
          <w:p w:rsidR="00852233" w:rsidRPr="00852233" w:rsidRDefault="00852233" w:rsidP="00852233">
            <w:pPr>
              <w:pStyle w:val="Default"/>
              <w:rPr>
                <w:b/>
                <w:u w:val="single"/>
              </w:rPr>
            </w:pPr>
          </w:p>
        </w:tc>
        <w:tc>
          <w:tcPr>
            <w:tcW w:w="6157" w:type="dxa"/>
          </w:tcPr>
          <w:p w:rsidR="00852233" w:rsidRPr="00852233" w:rsidRDefault="00852233" w:rsidP="00852233">
            <w:pPr>
              <w:pStyle w:val="Default"/>
              <w:rPr>
                <w:b/>
              </w:rPr>
            </w:pPr>
            <w:r w:rsidRPr="00852233">
              <w:rPr>
                <w:b/>
              </w:rPr>
              <w:t>What we are going to do to achieve our objectives.</w:t>
            </w:r>
          </w:p>
          <w:p w:rsidR="00852233" w:rsidRPr="00852233" w:rsidRDefault="00852233" w:rsidP="00852233">
            <w:pPr>
              <w:pStyle w:val="Default"/>
              <w:rPr>
                <w:b/>
                <w:u w:val="single"/>
              </w:rPr>
            </w:pPr>
          </w:p>
        </w:tc>
      </w:tr>
      <w:tr w:rsidR="00852233" w:rsidTr="00852233">
        <w:tc>
          <w:tcPr>
            <w:tcW w:w="3085" w:type="dxa"/>
            <w:vMerge w:val="restart"/>
          </w:tcPr>
          <w:p w:rsidR="00852233" w:rsidRPr="00852233" w:rsidRDefault="00852233" w:rsidP="00852233">
            <w:pPr>
              <w:pStyle w:val="Default"/>
              <w:rPr>
                <w:b/>
              </w:rPr>
            </w:pPr>
            <w:r w:rsidRPr="00852233">
              <w:rPr>
                <w:b/>
              </w:rPr>
              <w:t>To Strengthen Partnerships</w:t>
            </w:r>
          </w:p>
          <w:p w:rsidR="00852233" w:rsidRDefault="00852233" w:rsidP="00852233">
            <w:pPr>
              <w:pStyle w:val="Default"/>
              <w:rPr>
                <w:u w:val="single"/>
              </w:rPr>
            </w:pPr>
          </w:p>
        </w:tc>
        <w:tc>
          <w:tcPr>
            <w:tcW w:w="6157" w:type="dxa"/>
          </w:tcPr>
          <w:p w:rsidR="00852233" w:rsidRDefault="00852233" w:rsidP="00852233">
            <w:pPr>
              <w:pStyle w:val="Default"/>
            </w:pPr>
            <w:r>
              <w:t>Work proactively to strengthen and improve working relationships with our partners; statutory bodies, organisations, local business and voluntary groups.</w:t>
            </w:r>
          </w:p>
          <w:p w:rsidR="00852233" w:rsidRDefault="00852233" w:rsidP="00852233">
            <w:pPr>
              <w:pStyle w:val="Default"/>
              <w:rPr>
                <w:u w:val="single"/>
              </w:rPr>
            </w:pPr>
          </w:p>
        </w:tc>
      </w:tr>
      <w:tr w:rsidR="00852233" w:rsidTr="00852233">
        <w:tc>
          <w:tcPr>
            <w:tcW w:w="3085" w:type="dxa"/>
            <w:vMerge/>
          </w:tcPr>
          <w:p w:rsidR="00852233" w:rsidRDefault="00852233" w:rsidP="00852233">
            <w:pPr>
              <w:pStyle w:val="Default"/>
              <w:rPr>
                <w:u w:val="single"/>
              </w:rPr>
            </w:pPr>
          </w:p>
        </w:tc>
        <w:tc>
          <w:tcPr>
            <w:tcW w:w="6157" w:type="dxa"/>
          </w:tcPr>
          <w:p w:rsidR="00852233" w:rsidRDefault="00852233" w:rsidP="00852233">
            <w:pPr>
              <w:pStyle w:val="Default"/>
            </w:pPr>
            <w:r>
              <w:t>Through proactive networking and Parish Council representatives, encourage partners to approach the Parish Council with clear, well thought out constructive ideas which will benefit all sections of the community and on which there can be joint working.</w:t>
            </w:r>
          </w:p>
          <w:p w:rsidR="00852233" w:rsidRDefault="00852233" w:rsidP="00852233">
            <w:pPr>
              <w:pStyle w:val="Default"/>
              <w:rPr>
                <w:u w:val="single"/>
              </w:rPr>
            </w:pPr>
          </w:p>
        </w:tc>
      </w:tr>
      <w:tr w:rsidR="00E35C52" w:rsidRPr="00E35C52" w:rsidTr="00852233">
        <w:tc>
          <w:tcPr>
            <w:tcW w:w="3085" w:type="dxa"/>
            <w:vMerge w:val="restart"/>
          </w:tcPr>
          <w:p w:rsidR="00E35C52" w:rsidRPr="00E35C52" w:rsidRDefault="00E35C52" w:rsidP="00E35C52">
            <w:pPr>
              <w:pStyle w:val="Default"/>
              <w:rPr>
                <w:b/>
              </w:rPr>
            </w:pPr>
            <w:r w:rsidRPr="00E35C52">
              <w:rPr>
                <w:b/>
              </w:rPr>
              <w:t>To promote Communication at all levels</w:t>
            </w:r>
          </w:p>
          <w:p w:rsidR="00E35C52" w:rsidRPr="00E35C52" w:rsidRDefault="00E35C52" w:rsidP="00852233">
            <w:pPr>
              <w:pStyle w:val="Default"/>
              <w:rPr>
                <w:b/>
                <w:u w:val="single"/>
              </w:rPr>
            </w:pPr>
          </w:p>
        </w:tc>
        <w:tc>
          <w:tcPr>
            <w:tcW w:w="6157" w:type="dxa"/>
          </w:tcPr>
          <w:p w:rsidR="00E35C52" w:rsidRDefault="00E35C52" w:rsidP="00E35C52">
            <w:pPr>
              <w:pStyle w:val="Default"/>
            </w:pPr>
            <w:r>
              <w:t>Publicise the work of the Parish Council through its website, newsletters and press releases.</w:t>
            </w:r>
          </w:p>
          <w:p w:rsidR="00E35C52" w:rsidRPr="00E35C52" w:rsidRDefault="00E35C52" w:rsidP="00852233">
            <w:pPr>
              <w:pStyle w:val="Default"/>
              <w:rPr>
                <w:b/>
              </w:rPr>
            </w:pPr>
          </w:p>
        </w:tc>
      </w:tr>
      <w:tr w:rsidR="00E35C52" w:rsidRPr="00E35C52" w:rsidTr="00852233">
        <w:tc>
          <w:tcPr>
            <w:tcW w:w="3085" w:type="dxa"/>
            <w:vMerge/>
          </w:tcPr>
          <w:p w:rsidR="00E35C52" w:rsidRPr="00E35C52" w:rsidRDefault="00E35C52" w:rsidP="00852233">
            <w:pPr>
              <w:pStyle w:val="Default"/>
              <w:rPr>
                <w:b/>
                <w:u w:val="single"/>
              </w:rPr>
            </w:pPr>
          </w:p>
        </w:tc>
        <w:tc>
          <w:tcPr>
            <w:tcW w:w="6157" w:type="dxa"/>
          </w:tcPr>
          <w:p w:rsidR="00E35C52" w:rsidRDefault="00E35C52" w:rsidP="00E35C52">
            <w:pPr>
              <w:pStyle w:val="Default"/>
            </w:pPr>
            <w:r>
              <w:t>Give the public the opportunity to ask questions at all of its public meetings.</w:t>
            </w:r>
          </w:p>
          <w:p w:rsidR="00E35C52" w:rsidRPr="00E35C52" w:rsidRDefault="00E35C52" w:rsidP="00852233">
            <w:pPr>
              <w:pStyle w:val="Default"/>
              <w:rPr>
                <w:b/>
              </w:rPr>
            </w:pPr>
          </w:p>
        </w:tc>
      </w:tr>
      <w:tr w:rsidR="00E35C52" w:rsidRPr="00E35C52" w:rsidTr="00852233">
        <w:tc>
          <w:tcPr>
            <w:tcW w:w="3085" w:type="dxa"/>
            <w:vMerge/>
          </w:tcPr>
          <w:p w:rsidR="00E35C52" w:rsidRPr="00E35C52" w:rsidRDefault="00E35C52" w:rsidP="00852233">
            <w:pPr>
              <w:pStyle w:val="Default"/>
              <w:rPr>
                <w:b/>
                <w:u w:val="single"/>
              </w:rPr>
            </w:pPr>
          </w:p>
        </w:tc>
        <w:tc>
          <w:tcPr>
            <w:tcW w:w="6157" w:type="dxa"/>
          </w:tcPr>
          <w:p w:rsidR="00E35C52" w:rsidRDefault="00E35C52" w:rsidP="00E35C52">
            <w:pPr>
              <w:pStyle w:val="Default"/>
            </w:pPr>
            <w:r>
              <w:t>Encourage public feedback, both positive and ideas for development, by visiting the Parish Council Offices, during public participation at Council meetings and including the community through questionnaires, canvassing opinion and by any method which is relevant to the subject being considered.</w:t>
            </w:r>
          </w:p>
          <w:p w:rsidR="00E35C52" w:rsidRPr="00E35C52" w:rsidRDefault="00E35C52" w:rsidP="00852233">
            <w:pPr>
              <w:pStyle w:val="Default"/>
              <w:rPr>
                <w:b/>
              </w:rPr>
            </w:pPr>
          </w:p>
        </w:tc>
      </w:tr>
    </w:tbl>
    <w:p w:rsidR="00852233" w:rsidRPr="00E35C52" w:rsidRDefault="00852233" w:rsidP="00852233">
      <w:pPr>
        <w:pStyle w:val="Default"/>
        <w:rPr>
          <w:b/>
          <w:u w:val="single"/>
        </w:rPr>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tbl>
      <w:tblPr>
        <w:tblStyle w:val="TableGrid"/>
        <w:tblW w:w="0" w:type="auto"/>
        <w:tblLook w:val="04A0" w:firstRow="1" w:lastRow="0" w:firstColumn="1" w:lastColumn="0" w:noHBand="0" w:noVBand="1"/>
      </w:tblPr>
      <w:tblGrid>
        <w:gridCol w:w="4621"/>
        <w:gridCol w:w="4621"/>
      </w:tblGrid>
      <w:tr w:rsidR="00382EFD" w:rsidTr="00382EFD">
        <w:tc>
          <w:tcPr>
            <w:tcW w:w="4621" w:type="dxa"/>
            <w:vMerge w:val="restart"/>
          </w:tcPr>
          <w:p w:rsidR="00382EFD" w:rsidRPr="00382EFD" w:rsidRDefault="00382EFD" w:rsidP="00382EFD">
            <w:pPr>
              <w:pStyle w:val="Default"/>
              <w:rPr>
                <w:b/>
              </w:rPr>
            </w:pPr>
            <w:r w:rsidRPr="00382EFD">
              <w:rPr>
                <w:b/>
              </w:rPr>
              <w:t>To Manage the Council’s resources wisely</w:t>
            </w:r>
          </w:p>
          <w:p w:rsidR="00382EFD" w:rsidRDefault="00382EFD" w:rsidP="00852233">
            <w:pPr>
              <w:pStyle w:val="Default"/>
            </w:pPr>
          </w:p>
        </w:tc>
        <w:tc>
          <w:tcPr>
            <w:tcW w:w="4621" w:type="dxa"/>
          </w:tcPr>
          <w:p w:rsidR="00382EFD" w:rsidRDefault="00382EFD" w:rsidP="00382EFD">
            <w:pPr>
              <w:pStyle w:val="Default"/>
            </w:pPr>
            <w:r>
              <w:t>Have good financial control through legal procedures and quality auditing to ensure that resources are spent on the needs of the community.</w:t>
            </w:r>
          </w:p>
          <w:p w:rsidR="00382EFD" w:rsidRDefault="00382EFD" w:rsidP="00852233">
            <w:pPr>
              <w:pStyle w:val="Default"/>
            </w:pPr>
          </w:p>
        </w:tc>
      </w:tr>
      <w:tr w:rsidR="00382EFD" w:rsidTr="00382EFD">
        <w:tc>
          <w:tcPr>
            <w:tcW w:w="4621" w:type="dxa"/>
            <w:vMerge/>
          </w:tcPr>
          <w:p w:rsidR="00382EFD" w:rsidRDefault="00382EFD" w:rsidP="00852233">
            <w:pPr>
              <w:pStyle w:val="Default"/>
            </w:pPr>
          </w:p>
        </w:tc>
        <w:tc>
          <w:tcPr>
            <w:tcW w:w="4621" w:type="dxa"/>
          </w:tcPr>
          <w:p w:rsidR="00382EFD" w:rsidRDefault="00382EFD" w:rsidP="00382EFD">
            <w:pPr>
              <w:pStyle w:val="Default"/>
            </w:pPr>
            <w:r>
              <w:t>Focus resources on what matters to our community.</w:t>
            </w:r>
          </w:p>
          <w:p w:rsidR="00382EFD" w:rsidRDefault="00382EFD" w:rsidP="00852233">
            <w:pPr>
              <w:pStyle w:val="Default"/>
            </w:pPr>
          </w:p>
        </w:tc>
      </w:tr>
      <w:tr w:rsidR="00382EFD" w:rsidTr="00382EFD">
        <w:tc>
          <w:tcPr>
            <w:tcW w:w="4621" w:type="dxa"/>
            <w:vMerge/>
          </w:tcPr>
          <w:p w:rsidR="00382EFD" w:rsidRDefault="00382EFD" w:rsidP="00852233">
            <w:pPr>
              <w:pStyle w:val="Default"/>
            </w:pPr>
          </w:p>
        </w:tc>
        <w:tc>
          <w:tcPr>
            <w:tcW w:w="4621" w:type="dxa"/>
          </w:tcPr>
          <w:p w:rsidR="00382EFD" w:rsidRDefault="00382EFD" w:rsidP="00852233">
            <w:pPr>
              <w:pStyle w:val="Default"/>
            </w:pPr>
            <w:r>
              <w:t>Attain maximum benefit from management of the Council’s assets.</w:t>
            </w:r>
          </w:p>
        </w:tc>
      </w:tr>
      <w:tr w:rsidR="00382EFD" w:rsidTr="00382EFD">
        <w:tc>
          <w:tcPr>
            <w:tcW w:w="4621" w:type="dxa"/>
            <w:vMerge w:val="restart"/>
          </w:tcPr>
          <w:p w:rsidR="00382EFD" w:rsidRPr="00382EFD" w:rsidRDefault="00382EFD" w:rsidP="00382EFD">
            <w:pPr>
              <w:pStyle w:val="Default"/>
              <w:rPr>
                <w:b/>
              </w:rPr>
            </w:pPr>
            <w:r w:rsidRPr="00382EFD">
              <w:rPr>
                <w:b/>
              </w:rPr>
              <w:t>To promote a Sustainable community.</w:t>
            </w:r>
          </w:p>
          <w:p w:rsidR="00382EFD" w:rsidRDefault="00382EFD" w:rsidP="00852233">
            <w:pPr>
              <w:pStyle w:val="Default"/>
            </w:pPr>
          </w:p>
        </w:tc>
        <w:tc>
          <w:tcPr>
            <w:tcW w:w="4621" w:type="dxa"/>
          </w:tcPr>
          <w:p w:rsidR="00382EFD" w:rsidRDefault="00382EFD" w:rsidP="00382EFD">
            <w:pPr>
              <w:pStyle w:val="Default"/>
            </w:pPr>
            <w:r>
              <w:t xml:space="preserve">Acknowledge the diversity of </w:t>
            </w:r>
            <w:r w:rsidR="00F2075F">
              <w:t>what heritage means to South Wootton</w:t>
            </w:r>
            <w:r>
              <w:t xml:space="preserve"> and seek to maintain this through active engagement in the </w:t>
            </w:r>
            <w:r w:rsidR="00F2075F">
              <w:t>ongoing reviews of the South Wootton</w:t>
            </w:r>
            <w:r>
              <w:t xml:space="preserve"> Design Statement</w:t>
            </w:r>
            <w:r w:rsidR="00F2075F">
              <w:t>, Neighb</w:t>
            </w:r>
            <w:bookmarkStart w:id="0" w:name="_GoBack"/>
            <w:bookmarkEnd w:id="0"/>
            <w:r w:rsidR="00F2075F">
              <w:t>ourhood Plan</w:t>
            </w:r>
            <w:r>
              <w:t xml:space="preserve"> and the Planning Committee.</w:t>
            </w:r>
          </w:p>
        </w:tc>
      </w:tr>
      <w:tr w:rsidR="00382EFD" w:rsidTr="00382EFD">
        <w:tc>
          <w:tcPr>
            <w:tcW w:w="4621" w:type="dxa"/>
            <w:vMerge/>
          </w:tcPr>
          <w:p w:rsidR="00382EFD" w:rsidRDefault="00382EFD" w:rsidP="00852233">
            <w:pPr>
              <w:pStyle w:val="Default"/>
            </w:pPr>
          </w:p>
        </w:tc>
        <w:tc>
          <w:tcPr>
            <w:tcW w:w="4621" w:type="dxa"/>
          </w:tcPr>
          <w:p w:rsidR="00382EFD" w:rsidRDefault="00382EFD" w:rsidP="00852233">
            <w:pPr>
              <w:pStyle w:val="Default"/>
            </w:pPr>
            <w:r>
              <w:t>Encourage ways in which our community can improve our environment and promote building resilience for the future, this includes being proactive in emergency planning and flood awareness.</w:t>
            </w:r>
          </w:p>
        </w:tc>
      </w:tr>
      <w:tr w:rsidR="00382EFD" w:rsidTr="00382EFD">
        <w:tc>
          <w:tcPr>
            <w:tcW w:w="4621" w:type="dxa"/>
            <w:vMerge/>
          </w:tcPr>
          <w:p w:rsidR="00382EFD" w:rsidRDefault="00382EFD" w:rsidP="00852233">
            <w:pPr>
              <w:pStyle w:val="Default"/>
            </w:pPr>
          </w:p>
        </w:tc>
        <w:tc>
          <w:tcPr>
            <w:tcW w:w="4621" w:type="dxa"/>
          </w:tcPr>
          <w:p w:rsidR="00382EFD" w:rsidRDefault="00382EFD" w:rsidP="00852233">
            <w:pPr>
              <w:pStyle w:val="Default"/>
            </w:pPr>
            <w:r>
              <w:t>Work to encourage balancing the current needs of people, the economy and the environment without compromising the future. Be sensitive to our environment and contribute to a high quality of life.</w:t>
            </w:r>
          </w:p>
        </w:tc>
      </w:tr>
      <w:tr w:rsidR="00382EFD" w:rsidTr="00382EFD">
        <w:tc>
          <w:tcPr>
            <w:tcW w:w="4621" w:type="dxa"/>
            <w:vMerge/>
          </w:tcPr>
          <w:p w:rsidR="00382EFD" w:rsidRDefault="00382EFD" w:rsidP="00852233">
            <w:pPr>
              <w:pStyle w:val="Default"/>
            </w:pPr>
          </w:p>
        </w:tc>
        <w:tc>
          <w:tcPr>
            <w:tcW w:w="4621" w:type="dxa"/>
          </w:tcPr>
          <w:p w:rsidR="00382EFD" w:rsidRDefault="00382EFD" w:rsidP="00852233">
            <w:pPr>
              <w:pStyle w:val="Default"/>
            </w:pPr>
            <w:r>
              <w:t>Promote safety and inclusion, opportunities and good services for all.</w:t>
            </w:r>
          </w:p>
        </w:tc>
      </w:tr>
      <w:tr w:rsidR="00382EFD" w:rsidTr="00382EFD">
        <w:tc>
          <w:tcPr>
            <w:tcW w:w="4621" w:type="dxa"/>
            <w:vMerge/>
          </w:tcPr>
          <w:p w:rsidR="00382EFD" w:rsidRDefault="00382EFD" w:rsidP="00852233">
            <w:pPr>
              <w:pStyle w:val="Default"/>
            </w:pPr>
          </w:p>
        </w:tc>
        <w:tc>
          <w:tcPr>
            <w:tcW w:w="4621" w:type="dxa"/>
          </w:tcPr>
          <w:p w:rsidR="00382EFD" w:rsidRDefault="00382EFD" w:rsidP="00852233">
            <w:pPr>
              <w:pStyle w:val="Default"/>
            </w:pPr>
            <w:r>
              <w:t>Work wherever possible with the business community to sustain economic vibrancy.</w:t>
            </w:r>
          </w:p>
        </w:tc>
      </w:tr>
    </w:tbl>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Pr="00382EFD" w:rsidRDefault="00382EFD" w:rsidP="00852233">
      <w:pPr>
        <w:pStyle w:val="Default"/>
        <w:rPr>
          <w:u w:val="single"/>
        </w:rPr>
      </w:pPr>
      <w:r w:rsidRPr="00382EFD">
        <w:rPr>
          <w:u w:val="single"/>
        </w:rPr>
        <w:t>DEFINING THE COMMUNITY</w:t>
      </w:r>
    </w:p>
    <w:p w:rsidR="00382EFD" w:rsidRDefault="00382EFD" w:rsidP="00852233">
      <w:pPr>
        <w:pStyle w:val="Default"/>
        <w:rPr>
          <w:u w:val="single"/>
        </w:rPr>
      </w:pPr>
    </w:p>
    <w:p w:rsidR="00382EFD" w:rsidRDefault="00382EFD" w:rsidP="00852233">
      <w:pPr>
        <w:pStyle w:val="Default"/>
      </w:pPr>
      <w:r>
        <w:t>South Wootton</w:t>
      </w:r>
      <w:r w:rsidR="00852233">
        <w:t xml:space="preserve">’s community is all of those people living or working within the Parish boundary, including local groups and organisations and partner organisations. </w:t>
      </w:r>
    </w:p>
    <w:p w:rsidR="00382EFD" w:rsidRDefault="00382EFD" w:rsidP="00852233">
      <w:pPr>
        <w:pStyle w:val="Default"/>
      </w:pPr>
    </w:p>
    <w:p w:rsidR="00382EFD" w:rsidRDefault="00852233" w:rsidP="00852233">
      <w:pPr>
        <w:pStyle w:val="Default"/>
      </w:pPr>
      <w:r w:rsidRPr="00382EFD">
        <w:rPr>
          <w:u w:val="single"/>
        </w:rPr>
        <w:t>PROVISION OF INFORMATION TO THE COMMUNITY</w:t>
      </w:r>
      <w:r>
        <w:t xml:space="preserve"> </w:t>
      </w:r>
    </w:p>
    <w:p w:rsidR="00382EFD" w:rsidRDefault="00382EFD" w:rsidP="00852233">
      <w:pPr>
        <w:pStyle w:val="Default"/>
      </w:pPr>
    </w:p>
    <w:p w:rsidR="009963D5" w:rsidRDefault="00382EFD" w:rsidP="00852233">
      <w:pPr>
        <w:pStyle w:val="Default"/>
      </w:pPr>
      <w:r>
        <w:t>South Wootton</w:t>
      </w:r>
      <w:r w:rsidR="00852233">
        <w:t xml:space="preserve"> Parish Council will make available to the community, information relating to who we are and what we do, what we spend and how we spend it, what our priorities are and how we are doing, how we make decisions, our policies and procedures, lists and registers and the services we offer. The information that can be provided is </w:t>
      </w:r>
      <w:r w:rsidR="009963D5">
        <w:t>available on our website</w:t>
      </w:r>
      <w:r w:rsidR="00852233">
        <w:t xml:space="preserve"> and is available in hard copy by contacting the </w:t>
      </w:r>
      <w:r w:rsidR="00852233">
        <w:lastRenderedPageBreak/>
        <w:t xml:space="preserve">Parish Council Office, </w:t>
      </w:r>
      <w:r w:rsidR="009963D5">
        <w:t>24 Church Lane, South Wootton, Kings Lynn. PE30 3LJ; telephone 01553 671692</w:t>
      </w:r>
    </w:p>
    <w:p w:rsidR="009963D5" w:rsidRDefault="009963D5" w:rsidP="00852233">
      <w:pPr>
        <w:pStyle w:val="Default"/>
      </w:pPr>
    </w:p>
    <w:p w:rsidR="00852233" w:rsidRDefault="00852233" w:rsidP="00852233">
      <w:pPr>
        <w:pStyle w:val="Default"/>
        <w:rPr>
          <w:u w:val="single"/>
        </w:rPr>
      </w:pPr>
      <w:r w:rsidRPr="009963D5">
        <w:rPr>
          <w:u w:val="single"/>
        </w:rPr>
        <w:t>OPPORTUNITIES FOR COMMUNITY INVOLVEMENT</w:t>
      </w:r>
    </w:p>
    <w:p w:rsidR="009963D5" w:rsidRPr="009963D5" w:rsidRDefault="009963D5" w:rsidP="00852233">
      <w:pPr>
        <w:pStyle w:val="Default"/>
        <w:rPr>
          <w:u w:val="single"/>
        </w:rPr>
      </w:pPr>
    </w:p>
    <w:p w:rsidR="00493F00" w:rsidRDefault="00852233" w:rsidP="00852233">
      <w:pPr>
        <w:pStyle w:val="Default"/>
      </w:pPr>
      <w:r>
        <w:t xml:space="preserve">All Parish Council meetings give an opportunity for questions to be asked </w:t>
      </w:r>
      <w:r w:rsidR="009963D5">
        <w:t xml:space="preserve">during the </w:t>
      </w:r>
      <w:r w:rsidR="00493F00">
        <w:t>‘Questions from the Public’ section of the Agenda</w:t>
      </w:r>
      <w:r>
        <w:t>. Use of digital media to record meetings is allowed. Separate arrangements are in place to protect those who may not wish to be recorded. The Parish Council works in partnership with community organisations, the business sector and voluntary organisations to enable wider community involvement. Th</w:t>
      </w:r>
      <w:r w:rsidR="00493F00">
        <w:t xml:space="preserve">e Council recognises that there </w:t>
      </w:r>
      <w:r>
        <w:t>are residents who may have specific needs or less chance than others to get involved such as the elderly, young people, those who are based rurally without transport etc. and will seek to use different ways in which to promote social inclusion. This could include having a presence at local events, ensuring regular information on what we are doing is provided through the website, on our</w:t>
      </w:r>
      <w:r w:rsidR="00493F00">
        <w:t xml:space="preserve"> noticeboards</w:t>
      </w:r>
      <w:r>
        <w:t xml:space="preserve">, press articles and though </w:t>
      </w:r>
      <w:r w:rsidR="00493F00">
        <w:t>the Parish Council newsletter</w:t>
      </w:r>
      <w:r>
        <w:t xml:space="preserve">. We aim to use clear and jargon free opportunities to engage. Feedback from community engagement will be included in Parish Council Minutes, on the website, through Annual Reports and newsletters. </w:t>
      </w:r>
    </w:p>
    <w:p w:rsidR="00493F00" w:rsidRDefault="00493F00" w:rsidP="00852233">
      <w:pPr>
        <w:pStyle w:val="Default"/>
      </w:pPr>
    </w:p>
    <w:p w:rsidR="00852233" w:rsidRDefault="00852233" w:rsidP="00852233">
      <w:pPr>
        <w:pStyle w:val="Default"/>
        <w:rPr>
          <w:u w:val="single"/>
        </w:rPr>
      </w:pPr>
      <w:r w:rsidRPr="00493F00">
        <w:rPr>
          <w:u w:val="single"/>
        </w:rPr>
        <w:t>OPPORTUNITIES FOR FORMAL REPRESENTATIONS TO THE COUNCIL</w:t>
      </w:r>
    </w:p>
    <w:p w:rsidR="00493F00" w:rsidRPr="00493F00" w:rsidRDefault="00493F00" w:rsidP="00852233">
      <w:pPr>
        <w:pStyle w:val="Default"/>
        <w:rPr>
          <w:u w:val="single"/>
        </w:rPr>
      </w:pPr>
    </w:p>
    <w:p w:rsidR="00493F00" w:rsidRDefault="00852233" w:rsidP="00852233">
      <w:pPr>
        <w:pStyle w:val="Default"/>
      </w:pPr>
      <w:r>
        <w:t xml:space="preserve">There are opportunities for individuals/groups and partner organisations to ask questions </w:t>
      </w:r>
      <w:r w:rsidR="00493F00">
        <w:t xml:space="preserve">during the ‘Questions from the Public’ section </w:t>
      </w:r>
      <w:r>
        <w:t xml:space="preserve">of every </w:t>
      </w:r>
      <w:r w:rsidR="00493F00">
        <w:t>Parish</w:t>
      </w:r>
      <w:r>
        <w:t xml:space="preserve"> Council</w:t>
      </w:r>
      <w:r w:rsidR="00493F00">
        <w:t xml:space="preserve"> meeting</w:t>
      </w:r>
      <w:r>
        <w:t xml:space="preserve">. The Parish Council offices are open to the public </w:t>
      </w:r>
      <w:r w:rsidR="00493F00">
        <w:t>every Monday to Friday from 9.00am to 11.00a</w:t>
      </w:r>
      <w:r>
        <w:t xml:space="preserve">m. The Parish Council can be contacted by telephone </w:t>
      </w:r>
      <w:r w:rsidR="00493F00">
        <w:t>every weekday between 9am and 11am</w:t>
      </w:r>
      <w:r>
        <w:t xml:space="preserve"> and </w:t>
      </w:r>
      <w:r w:rsidR="00493F00">
        <w:t xml:space="preserve">via email at </w:t>
      </w:r>
      <w:hyperlink r:id="rId6" w:history="1">
        <w:r w:rsidR="00493F00" w:rsidRPr="00924A75">
          <w:rPr>
            <w:rStyle w:val="Hyperlink"/>
          </w:rPr>
          <w:t>swpc@hotmail.co.uk</w:t>
        </w:r>
      </w:hyperlink>
      <w:r w:rsidR="00493F00">
        <w:t xml:space="preserve"> </w:t>
      </w:r>
    </w:p>
    <w:p w:rsidR="00493F00" w:rsidRDefault="00493F00" w:rsidP="00852233">
      <w:pPr>
        <w:pStyle w:val="Default"/>
      </w:pPr>
    </w:p>
    <w:p w:rsidR="00493F00" w:rsidRDefault="00852233" w:rsidP="00852233">
      <w:pPr>
        <w:pStyle w:val="Default"/>
      </w:pPr>
      <w:r w:rsidRPr="00493F00">
        <w:rPr>
          <w:u w:val="single"/>
        </w:rPr>
        <w:t>INVOLVEMENT IN PARTNERSHIPS</w:t>
      </w:r>
      <w:r>
        <w:t xml:space="preserve"> </w:t>
      </w:r>
    </w:p>
    <w:p w:rsidR="00493F00" w:rsidRDefault="00493F00" w:rsidP="00852233">
      <w:pPr>
        <w:pStyle w:val="Default"/>
      </w:pPr>
    </w:p>
    <w:p w:rsidR="00493F00" w:rsidRDefault="00493F00" w:rsidP="00852233">
      <w:pPr>
        <w:pStyle w:val="Default"/>
      </w:pPr>
      <w:r>
        <w:t>South Wootton</w:t>
      </w:r>
      <w:r w:rsidR="00852233">
        <w:t xml:space="preserve"> Parish Council will work proactively wherever possible to strengthen and improve working relationships with our partners; statutory bodies/organisations, local business and voluntary groups.</w:t>
      </w:r>
    </w:p>
    <w:p w:rsidR="00493F00" w:rsidRDefault="00493F00" w:rsidP="00852233">
      <w:pPr>
        <w:pStyle w:val="Default"/>
      </w:pPr>
    </w:p>
    <w:p w:rsidR="00493F00" w:rsidRDefault="00852233" w:rsidP="00852233">
      <w:pPr>
        <w:pStyle w:val="Default"/>
      </w:pPr>
      <w:r w:rsidRPr="00493F00">
        <w:rPr>
          <w:u w:val="single"/>
        </w:rPr>
        <w:t>ROLE OF COUNCIL MEMBERS AND OFFICERS</w:t>
      </w:r>
      <w:r>
        <w:t xml:space="preserve"> </w:t>
      </w:r>
    </w:p>
    <w:p w:rsidR="00493F00" w:rsidRDefault="00493F00" w:rsidP="00852233">
      <w:pPr>
        <w:pStyle w:val="Default"/>
      </w:pPr>
    </w:p>
    <w:p w:rsidR="00346301" w:rsidRDefault="00346301" w:rsidP="00852233">
      <w:pPr>
        <w:pStyle w:val="Default"/>
      </w:pPr>
      <w:r>
        <w:t>South Wootton</w:t>
      </w:r>
      <w:r w:rsidR="00852233">
        <w:t xml:space="preserve"> Parish Council members and officers will engage with the community through partnership working, especially with statutory bodies/organisations, local business and voluntary groups. Parish Councillors will also sit as observers on local organisations on invitation. </w:t>
      </w:r>
    </w:p>
    <w:p w:rsidR="00346301" w:rsidRDefault="00346301" w:rsidP="00852233">
      <w:pPr>
        <w:pStyle w:val="Default"/>
      </w:pPr>
    </w:p>
    <w:p w:rsidR="00346301" w:rsidRDefault="00852233" w:rsidP="00852233">
      <w:pPr>
        <w:pStyle w:val="Default"/>
      </w:pPr>
      <w:r w:rsidRPr="00346301">
        <w:rPr>
          <w:u w:val="single"/>
        </w:rPr>
        <w:t>SPECIFIC AREAS FOR COMMUNITY INVOLVEMENT</w:t>
      </w:r>
      <w:r>
        <w:t xml:space="preserve"> </w:t>
      </w:r>
    </w:p>
    <w:p w:rsidR="00346301" w:rsidRDefault="00346301" w:rsidP="00852233">
      <w:pPr>
        <w:pStyle w:val="Default"/>
      </w:pPr>
    </w:p>
    <w:p w:rsidR="00852233" w:rsidRDefault="00852233" w:rsidP="001D56FC">
      <w:pPr>
        <w:pStyle w:val="Default"/>
      </w:pPr>
      <w:r>
        <w:t xml:space="preserve">The Parish Council intends to seek the views of local residents on the services that they provide, but also on wider issues which affect people living locally. Consultation may be directly through the Parish Council, its Councillors and those authorised to work on behalf of the Council. </w:t>
      </w:r>
    </w:p>
    <w:sectPr w:rsidR="00852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33"/>
    <w:rsid w:val="001D56FC"/>
    <w:rsid w:val="00346301"/>
    <w:rsid w:val="00382EFD"/>
    <w:rsid w:val="00493F00"/>
    <w:rsid w:val="006275EA"/>
    <w:rsid w:val="00852233"/>
    <w:rsid w:val="009963D5"/>
    <w:rsid w:val="00E35C52"/>
    <w:rsid w:val="00F20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2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5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2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5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wpc@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585B-9FE0-4FA5-8774-7E72D34B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3</cp:revision>
  <dcterms:created xsi:type="dcterms:W3CDTF">2015-10-08T10:03:00Z</dcterms:created>
  <dcterms:modified xsi:type="dcterms:W3CDTF">2015-11-05T11:56:00Z</dcterms:modified>
</cp:coreProperties>
</file>