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27" w:rsidRPr="000531F4" w:rsidRDefault="00DE64DA" w:rsidP="00DE64DA">
      <w:pPr>
        <w:jc w:val="center"/>
        <w:rPr>
          <w:rFonts w:ascii="Arial" w:hAnsi="Arial" w:cs="Arial"/>
          <w:b/>
          <w:sz w:val="28"/>
          <w:szCs w:val="28"/>
          <w:u w:val="single"/>
        </w:rPr>
      </w:pPr>
      <w:r w:rsidRPr="000531F4">
        <w:rPr>
          <w:rFonts w:ascii="Arial" w:hAnsi="Arial" w:cs="Arial"/>
          <w:b/>
          <w:sz w:val="28"/>
          <w:szCs w:val="28"/>
          <w:u w:val="single"/>
        </w:rPr>
        <w:t>South Wootton Parish Council</w:t>
      </w:r>
    </w:p>
    <w:p w:rsidR="00DE64DA" w:rsidRPr="000531F4" w:rsidRDefault="00DE64DA" w:rsidP="00DE64DA">
      <w:pPr>
        <w:pStyle w:val="NoSpacing"/>
        <w:jc w:val="center"/>
        <w:rPr>
          <w:rFonts w:ascii="Arial" w:hAnsi="Arial" w:cs="Arial"/>
          <w:b/>
          <w:u w:val="single"/>
        </w:rPr>
      </w:pPr>
      <w:r w:rsidRPr="000531F4">
        <w:rPr>
          <w:rFonts w:ascii="Arial" w:hAnsi="Arial" w:cs="Arial"/>
          <w:b/>
          <w:u w:val="single"/>
        </w:rPr>
        <w:t>Policy in relation to South Wootton Village Hall and the Licensing Act 2003</w:t>
      </w:r>
    </w:p>
    <w:p w:rsidR="00DE64DA" w:rsidRPr="000531F4" w:rsidRDefault="00DE64DA" w:rsidP="00DE64DA">
      <w:pPr>
        <w:pStyle w:val="NoSpacing"/>
        <w:jc w:val="center"/>
        <w:rPr>
          <w:rFonts w:ascii="Arial" w:hAnsi="Arial" w:cs="Arial"/>
          <w:b/>
          <w:u w:val="single"/>
        </w:rPr>
      </w:pPr>
      <w:r w:rsidRPr="000531F4">
        <w:rPr>
          <w:rFonts w:ascii="Arial" w:hAnsi="Arial" w:cs="Arial"/>
          <w:b/>
          <w:u w:val="single"/>
        </w:rPr>
        <w:t>And the Licensing Act 2003 (Mandatory Licensing Conditions) Order 2010</w:t>
      </w:r>
    </w:p>
    <w:p w:rsidR="00DE64DA" w:rsidRPr="000531F4" w:rsidRDefault="00DE64DA" w:rsidP="00DE64DA">
      <w:pPr>
        <w:pStyle w:val="NoSpacing"/>
        <w:jc w:val="center"/>
        <w:rPr>
          <w:rFonts w:ascii="Arial" w:hAnsi="Arial" w:cs="Arial"/>
          <w:b/>
          <w:u w:val="single"/>
        </w:rPr>
      </w:pPr>
    </w:p>
    <w:p w:rsidR="00DE64DA" w:rsidRPr="000531F4" w:rsidRDefault="00DE64DA" w:rsidP="00DE64DA">
      <w:pPr>
        <w:pStyle w:val="NoSpacing"/>
        <w:jc w:val="center"/>
        <w:rPr>
          <w:rFonts w:ascii="Arial" w:hAnsi="Arial" w:cs="Arial"/>
          <w:b/>
          <w:u w:val="single"/>
        </w:rPr>
      </w:pPr>
    </w:p>
    <w:p w:rsidR="00DE64DA" w:rsidRPr="000531F4" w:rsidRDefault="00DE64DA" w:rsidP="00DE64DA">
      <w:pPr>
        <w:jc w:val="center"/>
        <w:rPr>
          <w:rFonts w:ascii="Arial" w:hAnsi="Arial" w:cs="Arial"/>
          <w:sz w:val="24"/>
          <w:szCs w:val="24"/>
          <w:u w:val="single"/>
        </w:rPr>
      </w:pPr>
      <w:r w:rsidRPr="000531F4">
        <w:rPr>
          <w:rFonts w:ascii="Arial" w:hAnsi="Arial" w:cs="Arial"/>
          <w:sz w:val="24"/>
          <w:szCs w:val="24"/>
          <w:u w:val="single"/>
        </w:rPr>
        <w:t>Licence No WNPL 005211</w:t>
      </w:r>
    </w:p>
    <w:p w:rsidR="00DE64DA" w:rsidRPr="000531F4" w:rsidRDefault="00DE64DA" w:rsidP="00DE64DA">
      <w:pPr>
        <w:pStyle w:val="NoSpacing"/>
        <w:rPr>
          <w:rFonts w:ascii="Arial" w:hAnsi="Arial" w:cs="Arial"/>
          <w:b/>
        </w:rPr>
      </w:pPr>
      <w:r w:rsidRPr="000531F4">
        <w:rPr>
          <w:rFonts w:ascii="Arial" w:hAnsi="Arial" w:cs="Arial"/>
          <w:b/>
        </w:rPr>
        <w:t>1. Mandatory Conditions</w:t>
      </w:r>
    </w:p>
    <w:p w:rsidR="00DE64DA" w:rsidRPr="000531F4" w:rsidRDefault="00DE64DA" w:rsidP="00DE64DA">
      <w:pPr>
        <w:pStyle w:val="NoSpacing"/>
        <w:rPr>
          <w:rFonts w:ascii="Arial" w:hAnsi="Arial" w:cs="Arial"/>
          <w:b/>
        </w:rPr>
      </w:pPr>
    </w:p>
    <w:p w:rsidR="00DE64DA" w:rsidRPr="000531F4" w:rsidRDefault="00DE64DA" w:rsidP="0028767F">
      <w:pPr>
        <w:pStyle w:val="NoSpacing"/>
        <w:jc w:val="both"/>
        <w:rPr>
          <w:rFonts w:ascii="Arial" w:hAnsi="Arial" w:cs="Arial"/>
        </w:rPr>
      </w:pPr>
      <w:r w:rsidRPr="000531F4">
        <w:rPr>
          <w:rFonts w:ascii="Arial" w:hAnsi="Arial" w:cs="Arial"/>
        </w:rPr>
        <w:t>The following Mandatory Conditions came into force on 6</w:t>
      </w:r>
      <w:r w:rsidRPr="000531F4">
        <w:rPr>
          <w:rFonts w:ascii="Arial" w:hAnsi="Arial" w:cs="Arial"/>
          <w:vertAlign w:val="superscript"/>
        </w:rPr>
        <w:t>th</w:t>
      </w:r>
      <w:r w:rsidRPr="000531F4">
        <w:rPr>
          <w:rFonts w:ascii="Arial" w:hAnsi="Arial" w:cs="Arial"/>
        </w:rPr>
        <w:t xml:space="preserve"> April 2010:</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1. Under Section 19(2) of the Licensing Act 2003, no supply of alcohol may be made under this premises licence when there is no designated premises supervisor in respect of the premises licence, or at a time when the designated premises supervisor does not hold a premises licence, or his personal licence is suspended.</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2. Under Section 19(3) of the Licensing Act 2003, every supply of alcohol under the premises licence must be made or authorised by a person who holds a personal licence.</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 xml:space="preserve">3. In relation to the sale of alcohol, the responsible person shall take all reasonable steps to ensure </w:t>
      </w:r>
      <w:proofErr w:type="gramStart"/>
      <w:r w:rsidRPr="000531F4">
        <w:rPr>
          <w:rFonts w:ascii="Arial" w:hAnsi="Arial" w:cs="Arial"/>
        </w:rPr>
        <w:t>staff so not carry</w:t>
      </w:r>
      <w:proofErr w:type="gramEnd"/>
      <w:r w:rsidRPr="000531F4">
        <w:rPr>
          <w:rFonts w:ascii="Arial" w:hAnsi="Arial" w:cs="Arial"/>
        </w:rPr>
        <w:t xml:space="preserve"> out, arrange or participate in any irresponsible promotions in relation to the premises.</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An irresponsible promotion means an activity carried out for the purpose of encouraging the sale or supply of alcohol for consumption on the premises in a manner which carries a significant risk of leading or contributing to crime and disorder, prejudice to public safety, public nuisance, or harm to children.</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4. The responsible person shall ensure no alcohol is dispensed directly by one person into the mouth of another (other than where that person is unable to drink without assistance by reason of a disability).</w:t>
      </w:r>
    </w:p>
    <w:p w:rsidR="00DE64DA" w:rsidRPr="000531F4" w:rsidRDefault="00DE64DA" w:rsidP="0028767F">
      <w:pPr>
        <w:pStyle w:val="NoSpacing"/>
        <w:jc w:val="both"/>
        <w:rPr>
          <w:rFonts w:ascii="Arial" w:hAnsi="Arial" w:cs="Arial"/>
        </w:rPr>
      </w:pPr>
    </w:p>
    <w:p w:rsidR="00DE64DA" w:rsidRPr="000531F4" w:rsidRDefault="00DE64DA" w:rsidP="0028767F">
      <w:pPr>
        <w:pStyle w:val="NoSpacing"/>
        <w:jc w:val="both"/>
        <w:rPr>
          <w:rFonts w:ascii="Arial" w:hAnsi="Arial" w:cs="Arial"/>
        </w:rPr>
      </w:pPr>
      <w:r w:rsidRPr="000531F4">
        <w:rPr>
          <w:rFonts w:ascii="Arial" w:hAnsi="Arial" w:cs="Arial"/>
        </w:rPr>
        <w:t xml:space="preserve">5. The responsible person shall ensure that free tap water </w:t>
      </w:r>
      <w:r w:rsidR="00961705" w:rsidRPr="000531F4">
        <w:rPr>
          <w:rFonts w:ascii="Arial" w:hAnsi="Arial" w:cs="Arial"/>
        </w:rPr>
        <w:t>is provided on request to customers where it is reasonably available.</w:t>
      </w:r>
    </w:p>
    <w:p w:rsidR="00961705" w:rsidRPr="000531F4" w:rsidRDefault="00961705" w:rsidP="0028767F">
      <w:pPr>
        <w:pStyle w:val="NoSpacing"/>
        <w:jc w:val="both"/>
        <w:rPr>
          <w:rFonts w:ascii="Arial" w:hAnsi="Arial" w:cs="Arial"/>
        </w:rPr>
      </w:pPr>
    </w:p>
    <w:p w:rsidR="00961705" w:rsidRPr="000531F4" w:rsidRDefault="00961705" w:rsidP="0028767F">
      <w:pPr>
        <w:pStyle w:val="NoSpacing"/>
        <w:jc w:val="both"/>
        <w:rPr>
          <w:rFonts w:ascii="Arial" w:hAnsi="Arial" w:cs="Arial"/>
          <w:b/>
          <w:u w:val="single"/>
        </w:rPr>
      </w:pPr>
      <w:r w:rsidRPr="000531F4">
        <w:rPr>
          <w:rFonts w:ascii="Arial" w:hAnsi="Arial" w:cs="Arial"/>
          <w:b/>
        </w:rPr>
        <w:t xml:space="preserve">2. </w:t>
      </w:r>
      <w:r w:rsidRPr="000531F4">
        <w:rPr>
          <w:rFonts w:ascii="Arial" w:hAnsi="Arial" w:cs="Arial"/>
          <w:b/>
          <w:u w:val="single"/>
        </w:rPr>
        <w:t>Additional Conditions</w:t>
      </w:r>
    </w:p>
    <w:p w:rsidR="00961705" w:rsidRPr="000531F4" w:rsidRDefault="00961705" w:rsidP="0028767F">
      <w:pPr>
        <w:pStyle w:val="NoSpacing"/>
        <w:jc w:val="both"/>
        <w:rPr>
          <w:rFonts w:ascii="Arial" w:hAnsi="Arial" w:cs="Arial"/>
          <w:b/>
          <w:u w:val="single"/>
        </w:rPr>
      </w:pPr>
    </w:p>
    <w:p w:rsidR="00961705" w:rsidRPr="000531F4" w:rsidRDefault="00961705" w:rsidP="0028767F">
      <w:pPr>
        <w:pStyle w:val="NoSpacing"/>
        <w:jc w:val="both"/>
        <w:rPr>
          <w:rFonts w:ascii="Arial" w:hAnsi="Arial" w:cs="Arial"/>
        </w:rPr>
      </w:pPr>
      <w:r w:rsidRPr="000531F4">
        <w:rPr>
          <w:rFonts w:ascii="Arial" w:hAnsi="Arial" w:cs="Arial"/>
        </w:rPr>
        <w:t>The following Conditions came into force on 1</w:t>
      </w:r>
      <w:r w:rsidRPr="000531F4">
        <w:rPr>
          <w:rFonts w:ascii="Arial" w:hAnsi="Arial" w:cs="Arial"/>
          <w:vertAlign w:val="superscript"/>
        </w:rPr>
        <w:t>st</w:t>
      </w:r>
      <w:r w:rsidRPr="000531F4">
        <w:rPr>
          <w:rFonts w:ascii="Arial" w:hAnsi="Arial" w:cs="Arial"/>
        </w:rPr>
        <w:t xml:space="preserve"> October 2010:</w:t>
      </w:r>
    </w:p>
    <w:p w:rsidR="00961705" w:rsidRPr="000531F4" w:rsidRDefault="00961705" w:rsidP="0028767F">
      <w:pPr>
        <w:pStyle w:val="NoSpacing"/>
        <w:jc w:val="both"/>
        <w:rPr>
          <w:rFonts w:ascii="Arial" w:hAnsi="Arial" w:cs="Arial"/>
        </w:rPr>
      </w:pPr>
    </w:p>
    <w:p w:rsidR="00961705" w:rsidRPr="000531F4" w:rsidRDefault="00961705" w:rsidP="0028767F">
      <w:pPr>
        <w:pStyle w:val="NoSpacing"/>
        <w:jc w:val="both"/>
        <w:rPr>
          <w:rFonts w:ascii="Arial" w:hAnsi="Arial" w:cs="Arial"/>
        </w:rPr>
      </w:pPr>
      <w:r w:rsidRPr="000531F4">
        <w:rPr>
          <w:rFonts w:ascii="Arial" w:hAnsi="Arial" w:cs="Arial"/>
        </w:rPr>
        <w:t xml:space="preserve">1. (1) </w:t>
      </w:r>
      <w:proofErr w:type="gramStart"/>
      <w:r w:rsidRPr="000531F4">
        <w:rPr>
          <w:rFonts w:ascii="Arial" w:hAnsi="Arial" w:cs="Arial"/>
        </w:rPr>
        <w:t>The</w:t>
      </w:r>
      <w:proofErr w:type="gramEnd"/>
      <w:r w:rsidRPr="000531F4">
        <w:rPr>
          <w:rFonts w:ascii="Arial" w:hAnsi="Arial" w:cs="Arial"/>
        </w:rPr>
        <w:t xml:space="preserve"> premises licence holder, or club premises certificate holder, shall ensure that an age verification policy applies to the premises in relation to the sale or supply of alcohol.</w:t>
      </w:r>
    </w:p>
    <w:p w:rsidR="00961705" w:rsidRPr="000531F4" w:rsidRDefault="00961705" w:rsidP="0028767F">
      <w:pPr>
        <w:pStyle w:val="NoSpacing"/>
        <w:jc w:val="both"/>
        <w:rPr>
          <w:rFonts w:ascii="Arial" w:hAnsi="Arial" w:cs="Arial"/>
        </w:rPr>
      </w:pPr>
    </w:p>
    <w:p w:rsidR="00961705" w:rsidRPr="000531F4" w:rsidRDefault="00961705" w:rsidP="0028767F">
      <w:pPr>
        <w:pStyle w:val="NoSpacing"/>
        <w:jc w:val="both"/>
        <w:rPr>
          <w:rFonts w:ascii="Arial" w:hAnsi="Arial" w:cs="Arial"/>
        </w:rPr>
      </w:pPr>
      <w:r w:rsidRPr="000531F4">
        <w:rPr>
          <w:rFonts w:ascii="Arial" w:hAnsi="Arial" w:cs="Arial"/>
        </w:rPr>
        <w:t xml:space="preserve">    (2) The Policy must require </w:t>
      </w:r>
      <w:r w:rsidR="00EF5A5A" w:rsidRPr="000531F4">
        <w:rPr>
          <w:rFonts w:ascii="Arial" w:hAnsi="Arial" w:cs="Arial"/>
        </w:rPr>
        <w:t>individuals who appear to the responsible person to be under 18 years of age (or such older age as may be specified in the policy</w:t>
      </w:r>
      <w:r w:rsidR="00735C6D" w:rsidRPr="000531F4">
        <w:rPr>
          <w:rFonts w:ascii="Arial" w:hAnsi="Arial" w:cs="Arial"/>
        </w:rPr>
        <w:t xml:space="preserve">) to produce on request, before </w:t>
      </w:r>
      <w:r w:rsidR="00C20DFE" w:rsidRPr="000531F4">
        <w:rPr>
          <w:rFonts w:ascii="Arial" w:hAnsi="Arial" w:cs="Arial"/>
        </w:rPr>
        <w:t>being</w:t>
      </w:r>
      <w:r w:rsidR="00735C6D" w:rsidRPr="000531F4">
        <w:rPr>
          <w:rFonts w:ascii="Arial" w:hAnsi="Arial" w:cs="Arial"/>
        </w:rPr>
        <w:t xml:space="preserve"> served alcohol, identification bearing their photograph, date of birth and a holographic mark).</w:t>
      </w:r>
    </w:p>
    <w:p w:rsidR="00735C6D" w:rsidRPr="000531F4" w:rsidRDefault="00735C6D" w:rsidP="0028767F">
      <w:pPr>
        <w:pStyle w:val="NoSpacing"/>
        <w:jc w:val="both"/>
        <w:rPr>
          <w:rFonts w:ascii="Arial" w:hAnsi="Arial" w:cs="Arial"/>
        </w:rPr>
      </w:pPr>
    </w:p>
    <w:p w:rsidR="00735C6D" w:rsidRPr="000531F4" w:rsidRDefault="00735C6D" w:rsidP="0028767F">
      <w:pPr>
        <w:pStyle w:val="NoSpacing"/>
        <w:jc w:val="both"/>
        <w:rPr>
          <w:rFonts w:ascii="Arial" w:hAnsi="Arial" w:cs="Arial"/>
        </w:rPr>
      </w:pPr>
      <w:r w:rsidRPr="000531F4">
        <w:rPr>
          <w:rFonts w:ascii="Arial" w:hAnsi="Arial" w:cs="Arial"/>
        </w:rPr>
        <w:t>2. The responsible person shall ensure that:</w:t>
      </w:r>
    </w:p>
    <w:p w:rsidR="00735C6D" w:rsidRPr="000531F4" w:rsidRDefault="00735C6D" w:rsidP="0028767F">
      <w:pPr>
        <w:pStyle w:val="NoSpacing"/>
        <w:jc w:val="both"/>
        <w:rPr>
          <w:rFonts w:ascii="Arial" w:hAnsi="Arial" w:cs="Arial"/>
        </w:rPr>
      </w:pPr>
    </w:p>
    <w:p w:rsidR="00735C6D" w:rsidRPr="000531F4" w:rsidRDefault="00735C6D" w:rsidP="0028767F">
      <w:pPr>
        <w:pStyle w:val="NoSpacing"/>
        <w:jc w:val="both"/>
        <w:rPr>
          <w:rFonts w:ascii="Arial" w:hAnsi="Arial" w:cs="Arial"/>
        </w:rPr>
      </w:pPr>
      <w:r w:rsidRPr="000531F4">
        <w:rPr>
          <w:rFonts w:ascii="Arial" w:hAnsi="Arial" w:cs="Arial"/>
        </w:rPr>
        <w:t xml:space="preserve">    (a) </w:t>
      </w:r>
      <w:proofErr w:type="gramStart"/>
      <w:r w:rsidRPr="000531F4">
        <w:rPr>
          <w:rFonts w:ascii="Arial" w:hAnsi="Arial" w:cs="Arial"/>
        </w:rPr>
        <w:t>where</w:t>
      </w:r>
      <w:proofErr w:type="gramEnd"/>
      <w:r w:rsidRPr="000531F4">
        <w:rPr>
          <w:rFonts w:ascii="Arial" w:hAnsi="Arial" w:cs="Arial"/>
        </w:rPr>
        <w:t xml:space="preserve"> any of the following alcoholic drinks is sold or supplied for consumption on the premises (other than alcoholic drinks sold or supplied having been made up in advance ready for sale or supply in a securely closed container) it is available to customers in the following measures:</w:t>
      </w:r>
    </w:p>
    <w:p w:rsidR="00735C6D" w:rsidRPr="000531F4" w:rsidRDefault="00735C6D" w:rsidP="0028767F">
      <w:pPr>
        <w:pStyle w:val="NoSpacing"/>
        <w:jc w:val="both"/>
        <w:rPr>
          <w:rFonts w:ascii="Arial" w:hAnsi="Arial" w:cs="Arial"/>
        </w:rPr>
      </w:pPr>
      <w:r w:rsidRPr="000531F4">
        <w:rPr>
          <w:rFonts w:ascii="Arial" w:hAnsi="Arial" w:cs="Arial"/>
        </w:rPr>
        <w:lastRenderedPageBreak/>
        <w:tab/>
        <w:t>(</w:t>
      </w:r>
      <w:proofErr w:type="spellStart"/>
      <w:r w:rsidRPr="000531F4">
        <w:rPr>
          <w:rFonts w:ascii="Arial" w:hAnsi="Arial" w:cs="Arial"/>
        </w:rPr>
        <w:t>i</w:t>
      </w:r>
      <w:proofErr w:type="spellEnd"/>
      <w:r w:rsidRPr="000531F4">
        <w:rPr>
          <w:rFonts w:ascii="Arial" w:hAnsi="Arial" w:cs="Arial"/>
        </w:rPr>
        <w:t xml:space="preserve">) </w:t>
      </w:r>
      <w:r w:rsidRPr="000531F4">
        <w:rPr>
          <w:rFonts w:ascii="Arial" w:hAnsi="Arial" w:cs="Arial"/>
        </w:rPr>
        <w:tab/>
      </w:r>
      <w:proofErr w:type="gramStart"/>
      <w:r w:rsidRPr="000531F4">
        <w:rPr>
          <w:rFonts w:ascii="Arial" w:hAnsi="Arial" w:cs="Arial"/>
        </w:rPr>
        <w:t>beer</w:t>
      </w:r>
      <w:proofErr w:type="gramEnd"/>
      <w:r w:rsidRPr="000531F4">
        <w:rPr>
          <w:rFonts w:ascii="Arial" w:hAnsi="Arial" w:cs="Arial"/>
        </w:rPr>
        <w:t xml:space="preserve"> or cider: ½ pint;</w:t>
      </w:r>
    </w:p>
    <w:p w:rsidR="00735C6D" w:rsidRPr="000531F4" w:rsidRDefault="00735C6D" w:rsidP="0028767F">
      <w:pPr>
        <w:pStyle w:val="NoSpacing"/>
        <w:jc w:val="both"/>
        <w:rPr>
          <w:rFonts w:ascii="Arial" w:hAnsi="Arial" w:cs="Arial"/>
        </w:rPr>
      </w:pPr>
      <w:r w:rsidRPr="000531F4">
        <w:rPr>
          <w:rFonts w:ascii="Arial" w:hAnsi="Arial" w:cs="Arial"/>
        </w:rPr>
        <w:tab/>
        <w:t xml:space="preserve">(ii) </w:t>
      </w:r>
      <w:r w:rsidRPr="000531F4">
        <w:rPr>
          <w:rFonts w:ascii="Arial" w:hAnsi="Arial" w:cs="Arial"/>
        </w:rPr>
        <w:tab/>
      </w:r>
      <w:proofErr w:type="gramStart"/>
      <w:r w:rsidRPr="000531F4">
        <w:rPr>
          <w:rFonts w:ascii="Arial" w:hAnsi="Arial" w:cs="Arial"/>
        </w:rPr>
        <w:t>gin</w:t>
      </w:r>
      <w:proofErr w:type="gramEnd"/>
      <w:r w:rsidRPr="000531F4">
        <w:rPr>
          <w:rFonts w:ascii="Arial" w:hAnsi="Arial" w:cs="Arial"/>
        </w:rPr>
        <w:t>, rum, vodka or whiskey: 25 ml or 35 ml; and</w:t>
      </w:r>
    </w:p>
    <w:p w:rsidR="00735C6D" w:rsidRPr="000531F4" w:rsidRDefault="00735C6D" w:rsidP="0028767F">
      <w:pPr>
        <w:pStyle w:val="NoSpacing"/>
        <w:jc w:val="both"/>
        <w:rPr>
          <w:rFonts w:ascii="Arial" w:hAnsi="Arial" w:cs="Arial"/>
        </w:rPr>
      </w:pPr>
      <w:r w:rsidRPr="000531F4">
        <w:rPr>
          <w:rFonts w:ascii="Arial" w:hAnsi="Arial" w:cs="Arial"/>
        </w:rPr>
        <w:tab/>
        <w:t>(iii)</w:t>
      </w:r>
      <w:r w:rsidRPr="000531F4">
        <w:rPr>
          <w:rFonts w:ascii="Arial" w:hAnsi="Arial" w:cs="Arial"/>
        </w:rPr>
        <w:tab/>
      </w:r>
      <w:proofErr w:type="gramStart"/>
      <w:r w:rsidRPr="000531F4">
        <w:rPr>
          <w:rFonts w:ascii="Arial" w:hAnsi="Arial" w:cs="Arial"/>
        </w:rPr>
        <w:t>still</w:t>
      </w:r>
      <w:proofErr w:type="gramEnd"/>
      <w:r w:rsidRPr="000531F4">
        <w:rPr>
          <w:rFonts w:ascii="Arial" w:hAnsi="Arial" w:cs="Arial"/>
        </w:rPr>
        <w:t xml:space="preserve"> wine in a glass: 125 ml; and</w:t>
      </w:r>
    </w:p>
    <w:p w:rsidR="00735C6D" w:rsidRPr="000531F4" w:rsidRDefault="00735C6D" w:rsidP="0028767F">
      <w:pPr>
        <w:pStyle w:val="NoSpacing"/>
        <w:jc w:val="both"/>
        <w:rPr>
          <w:rFonts w:ascii="Arial" w:hAnsi="Arial" w:cs="Arial"/>
        </w:rPr>
      </w:pPr>
    </w:p>
    <w:p w:rsidR="00735C6D" w:rsidRPr="000531F4" w:rsidRDefault="00735C6D" w:rsidP="0028767F">
      <w:pPr>
        <w:pStyle w:val="NoSpacing"/>
        <w:jc w:val="both"/>
        <w:rPr>
          <w:rFonts w:ascii="Arial" w:hAnsi="Arial" w:cs="Arial"/>
        </w:rPr>
      </w:pPr>
      <w:r w:rsidRPr="000531F4">
        <w:rPr>
          <w:rFonts w:ascii="Arial" w:hAnsi="Arial" w:cs="Arial"/>
        </w:rPr>
        <w:tab/>
        <w:t>(b)</w:t>
      </w:r>
      <w:r w:rsidRPr="000531F4">
        <w:rPr>
          <w:rFonts w:ascii="Arial" w:hAnsi="Arial" w:cs="Arial"/>
        </w:rPr>
        <w:tab/>
      </w:r>
      <w:proofErr w:type="gramStart"/>
      <w:r w:rsidRPr="000531F4">
        <w:rPr>
          <w:rFonts w:ascii="Arial" w:hAnsi="Arial" w:cs="Arial"/>
        </w:rPr>
        <w:t>customers</w:t>
      </w:r>
      <w:proofErr w:type="gramEnd"/>
      <w:r w:rsidRPr="000531F4">
        <w:rPr>
          <w:rFonts w:ascii="Arial" w:hAnsi="Arial" w:cs="Arial"/>
        </w:rPr>
        <w:t xml:space="preserve"> are made aware of the availability of these measures.</w:t>
      </w:r>
    </w:p>
    <w:p w:rsidR="00735C6D" w:rsidRPr="000531F4" w:rsidRDefault="00735C6D" w:rsidP="0028767F">
      <w:pPr>
        <w:pStyle w:val="NoSpacing"/>
        <w:jc w:val="both"/>
        <w:rPr>
          <w:rFonts w:ascii="Arial" w:hAnsi="Arial" w:cs="Arial"/>
        </w:rPr>
      </w:pPr>
    </w:p>
    <w:p w:rsidR="00735C6D" w:rsidRPr="000531F4" w:rsidRDefault="00735C6D" w:rsidP="0028767F">
      <w:pPr>
        <w:pStyle w:val="NoSpacing"/>
        <w:jc w:val="both"/>
        <w:rPr>
          <w:rFonts w:ascii="Arial" w:hAnsi="Arial" w:cs="Arial"/>
          <w:b/>
          <w:u w:val="single"/>
        </w:rPr>
      </w:pPr>
      <w:r w:rsidRPr="000531F4">
        <w:rPr>
          <w:rFonts w:ascii="Arial" w:hAnsi="Arial" w:cs="Arial"/>
          <w:b/>
        </w:rPr>
        <w:t xml:space="preserve">3. </w:t>
      </w:r>
      <w:r w:rsidRPr="000531F4">
        <w:rPr>
          <w:rFonts w:ascii="Arial" w:hAnsi="Arial" w:cs="Arial"/>
          <w:b/>
          <w:u w:val="single"/>
        </w:rPr>
        <w:t>Policy</w:t>
      </w:r>
    </w:p>
    <w:p w:rsidR="00735C6D" w:rsidRPr="000531F4" w:rsidRDefault="00735C6D" w:rsidP="0028767F">
      <w:pPr>
        <w:pStyle w:val="NoSpacing"/>
        <w:jc w:val="both"/>
        <w:rPr>
          <w:rFonts w:ascii="Arial" w:hAnsi="Arial" w:cs="Arial"/>
          <w:b/>
          <w:u w:val="single"/>
        </w:rPr>
      </w:pPr>
    </w:p>
    <w:p w:rsidR="00735C6D" w:rsidRPr="000531F4" w:rsidRDefault="00735C6D" w:rsidP="0028767F">
      <w:pPr>
        <w:pStyle w:val="NoSpacing"/>
        <w:jc w:val="both"/>
        <w:rPr>
          <w:rFonts w:ascii="Arial" w:hAnsi="Arial" w:cs="Arial"/>
        </w:rPr>
      </w:pPr>
      <w:r w:rsidRPr="000531F4">
        <w:rPr>
          <w:rFonts w:ascii="Arial" w:hAnsi="Arial" w:cs="Arial"/>
        </w:rPr>
        <w:t>It is hereby stated that the Policy of South Wootton Parish Council is that, as the responsible person and holder of the Premises Licence for South Wootton Village Hall, it will, to the best of its abilities, comply with all the requirements made of it by virtue of the Licensing Act 2003 and the Licensing Act 2003 (Mandatory Licensing Conditions) Order 2010.</w:t>
      </w:r>
    </w:p>
    <w:p w:rsidR="00735C6D" w:rsidRPr="000531F4" w:rsidRDefault="00735C6D" w:rsidP="0028767F">
      <w:pPr>
        <w:pStyle w:val="NoSpacing"/>
        <w:jc w:val="both"/>
        <w:rPr>
          <w:rFonts w:ascii="Arial" w:hAnsi="Arial" w:cs="Arial"/>
        </w:rPr>
      </w:pPr>
    </w:p>
    <w:p w:rsidR="00735C6D" w:rsidRPr="000531F4" w:rsidRDefault="00735C6D" w:rsidP="0028767F">
      <w:pPr>
        <w:pStyle w:val="NoSpacing"/>
        <w:jc w:val="both"/>
        <w:rPr>
          <w:rFonts w:ascii="Arial" w:hAnsi="Arial" w:cs="Arial"/>
        </w:rPr>
      </w:pPr>
      <w:r w:rsidRPr="000531F4">
        <w:rPr>
          <w:rFonts w:ascii="Arial" w:hAnsi="Arial" w:cs="Arial"/>
        </w:rPr>
        <w:t xml:space="preserve">Furthermore, a copy of this Policy having been provided to the Designated Premises Supervisor and a copy being displayed in South Wootton Village Hall, the Parish Council, as the responsible person will, to the best of its abilities, ensure that all the requirements made of it by virtue of the relevant legislation will be complied with by the Designated Premises Supervisor, especially </w:t>
      </w:r>
      <w:r w:rsidR="00161DFD" w:rsidRPr="000531F4">
        <w:rPr>
          <w:rFonts w:ascii="Arial" w:hAnsi="Arial" w:cs="Arial"/>
        </w:rPr>
        <w:t>in respect of an age verification policy which is as set out in the legislation and above.</w:t>
      </w:r>
    </w:p>
    <w:p w:rsidR="00161DFD" w:rsidRPr="000531F4" w:rsidRDefault="00161DFD" w:rsidP="0028767F">
      <w:pPr>
        <w:pStyle w:val="NoSpacing"/>
        <w:jc w:val="both"/>
        <w:rPr>
          <w:rFonts w:ascii="Arial" w:hAnsi="Arial" w:cs="Arial"/>
        </w:rPr>
      </w:pPr>
    </w:p>
    <w:p w:rsidR="00B92D2F" w:rsidRDefault="00161DFD" w:rsidP="0028767F">
      <w:pPr>
        <w:pStyle w:val="NoSpacing"/>
        <w:jc w:val="both"/>
        <w:rPr>
          <w:rFonts w:ascii="Arial" w:hAnsi="Arial" w:cs="Arial"/>
        </w:rPr>
      </w:pPr>
      <w:proofErr w:type="gramStart"/>
      <w:r w:rsidRPr="000531F4">
        <w:rPr>
          <w:rFonts w:ascii="Arial" w:hAnsi="Arial" w:cs="Arial"/>
        </w:rPr>
        <w:t>Made by Order of the Parish Council on 14</w:t>
      </w:r>
      <w:r w:rsidRPr="000531F4">
        <w:rPr>
          <w:rFonts w:ascii="Arial" w:hAnsi="Arial" w:cs="Arial"/>
          <w:vertAlign w:val="superscript"/>
        </w:rPr>
        <w:t>th</w:t>
      </w:r>
      <w:r w:rsidR="00B92D2F">
        <w:rPr>
          <w:rFonts w:ascii="Arial" w:hAnsi="Arial" w:cs="Arial"/>
        </w:rPr>
        <w:t xml:space="preserve"> September 2010.</w:t>
      </w:r>
      <w:proofErr w:type="gramEnd"/>
    </w:p>
    <w:p w:rsidR="00B92D2F" w:rsidRDefault="00B92D2F" w:rsidP="0028767F">
      <w:pPr>
        <w:pStyle w:val="NoSpacing"/>
        <w:jc w:val="both"/>
        <w:rPr>
          <w:rFonts w:ascii="Arial" w:hAnsi="Arial" w:cs="Arial"/>
        </w:rPr>
      </w:pPr>
    </w:p>
    <w:p w:rsidR="00161DFD" w:rsidRPr="000531F4" w:rsidRDefault="00B92D2F" w:rsidP="0028767F">
      <w:pPr>
        <w:pStyle w:val="NoSpacing"/>
        <w:jc w:val="both"/>
        <w:rPr>
          <w:rFonts w:ascii="Arial" w:hAnsi="Arial" w:cs="Arial"/>
        </w:rPr>
      </w:pPr>
      <w:proofErr w:type="gramStart"/>
      <w:r>
        <w:rPr>
          <w:rFonts w:ascii="Arial" w:hAnsi="Arial" w:cs="Arial"/>
        </w:rPr>
        <w:t>Reviewed :</w:t>
      </w:r>
      <w:proofErr w:type="gramEnd"/>
      <w:r>
        <w:rPr>
          <w:rFonts w:ascii="Arial" w:hAnsi="Arial" w:cs="Arial"/>
        </w:rPr>
        <w:t xml:space="preserve"> November 2017</w:t>
      </w:r>
    </w:p>
    <w:p w:rsidR="00161DFD" w:rsidRPr="000531F4" w:rsidRDefault="00161DFD" w:rsidP="0028767F">
      <w:pPr>
        <w:pStyle w:val="NoSpacing"/>
        <w:jc w:val="both"/>
        <w:rPr>
          <w:rFonts w:ascii="Arial" w:hAnsi="Arial" w:cs="Arial"/>
        </w:rPr>
      </w:pPr>
      <w:r w:rsidRPr="000531F4">
        <w:rPr>
          <w:rFonts w:ascii="Arial" w:hAnsi="Arial" w:cs="Arial"/>
        </w:rPr>
        <w:t xml:space="preserve">Date </w:t>
      </w:r>
      <w:r w:rsidR="00B92D2F">
        <w:rPr>
          <w:rFonts w:ascii="Arial" w:hAnsi="Arial" w:cs="Arial"/>
        </w:rPr>
        <w:t>of next Review: November 2020</w:t>
      </w:r>
      <w:r w:rsidR="00ED6E8B">
        <w:rPr>
          <w:rFonts w:ascii="Arial" w:hAnsi="Arial" w:cs="Arial"/>
        </w:rPr>
        <w:t xml:space="preserve"> (unless there are legislative changes)</w:t>
      </w:r>
      <w:bookmarkStart w:id="0" w:name="_GoBack"/>
      <w:bookmarkEnd w:id="0"/>
    </w:p>
    <w:p w:rsidR="00161DFD" w:rsidRPr="000531F4" w:rsidRDefault="00161DFD" w:rsidP="0028767F">
      <w:pPr>
        <w:pStyle w:val="NoSpacing"/>
        <w:jc w:val="both"/>
        <w:rPr>
          <w:rFonts w:ascii="Arial" w:hAnsi="Arial" w:cs="Arial"/>
        </w:rPr>
      </w:pPr>
      <w:r w:rsidRPr="000531F4">
        <w:rPr>
          <w:rFonts w:ascii="Arial" w:hAnsi="Arial" w:cs="Arial"/>
        </w:rPr>
        <w:t>Signed ………………………………………………………..</w:t>
      </w:r>
    </w:p>
    <w:p w:rsidR="00961705" w:rsidRPr="000531F4" w:rsidRDefault="00961705" w:rsidP="0028767F">
      <w:pPr>
        <w:pStyle w:val="NoSpacing"/>
        <w:jc w:val="both"/>
        <w:rPr>
          <w:rFonts w:ascii="Arial" w:hAnsi="Arial" w:cs="Arial"/>
        </w:rPr>
      </w:pPr>
    </w:p>
    <w:p w:rsidR="00961705" w:rsidRPr="000531F4" w:rsidRDefault="00961705" w:rsidP="0028767F">
      <w:pPr>
        <w:pStyle w:val="NoSpacing"/>
        <w:jc w:val="both"/>
        <w:rPr>
          <w:rFonts w:ascii="Arial" w:hAnsi="Arial" w:cs="Arial"/>
          <w:b/>
        </w:rPr>
      </w:pPr>
    </w:p>
    <w:p w:rsidR="00DE64DA" w:rsidRPr="000531F4" w:rsidRDefault="00DE64DA" w:rsidP="0028767F">
      <w:pPr>
        <w:pStyle w:val="NoSpacing"/>
        <w:jc w:val="both"/>
        <w:rPr>
          <w:rFonts w:ascii="Arial" w:hAnsi="Arial" w:cs="Arial"/>
          <w:b/>
        </w:rPr>
      </w:pPr>
      <w:r w:rsidRPr="000531F4">
        <w:rPr>
          <w:rFonts w:ascii="Arial" w:hAnsi="Arial" w:cs="Arial"/>
          <w:b/>
        </w:rPr>
        <w:t xml:space="preserve"> </w:t>
      </w:r>
    </w:p>
    <w:sectPr w:rsidR="00DE64DA" w:rsidRPr="0005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A"/>
    <w:rsid w:val="000531F4"/>
    <w:rsid w:val="00161DFD"/>
    <w:rsid w:val="0028767F"/>
    <w:rsid w:val="005E6B27"/>
    <w:rsid w:val="00735C6D"/>
    <w:rsid w:val="00961705"/>
    <w:rsid w:val="00B92D2F"/>
    <w:rsid w:val="00C20DFE"/>
    <w:rsid w:val="00DE64DA"/>
    <w:rsid w:val="00ED6E8B"/>
    <w:rsid w:val="00E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7</cp:revision>
  <cp:lastPrinted>2017-11-13T09:33:00Z</cp:lastPrinted>
  <dcterms:created xsi:type="dcterms:W3CDTF">2017-07-27T09:17:00Z</dcterms:created>
  <dcterms:modified xsi:type="dcterms:W3CDTF">2017-11-13T09:35:00Z</dcterms:modified>
</cp:coreProperties>
</file>